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F6" w:rsidRDefault="00DD1BF6" w:rsidP="00DD1BF6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hy-AM"/>
        </w:rPr>
        <w:t>Հավելված N 5</w:t>
      </w:r>
      <w:r>
        <w:rPr>
          <w:rFonts w:ascii="GHEA Grapalat" w:hAnsi="GHEA Grapalat" w:cs="Sylfaen"/>
          <w:sz w:val="16"/>
          <w:szCs w:val="16"/>
        </w:rPr>
        <w:t>.3</w:t>
      </w:r>
    </w:p>
    <w:p w:rsidR="00DD1BF6" w:rsidRDefault="00DD1BF6" w:rsidP="00DD1BF6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>Աշխատանքի և սոցիալական հարցերի նախարարության</w:t>
      </w:r>
    </w:p>
    <w:p w:rsidR="00DD1BF6" w:rsidRDefault="00DD1BF6" w:rsidP="00DD1BF6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 xml:space="preserve">գլխավոր քարտուղարի 2025 թ. </w:t>
      </w:r>
    </w:p>
    <w:p w:rsidR="00DD1BF6" w:rsidRDefault="00DD1BF6" w:rsidP="00DD1BF6">
      <w:pPr>
        <w:tabs>
          <w:tab w:val="left" w:pos="1080"/>
        </w:tabs>
        <w:spacing w:after="0" w:line="276" w:lineRule="auto"/>
        <w:jc w:val="right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>_________________   _______-ի N      –Ա/4 հրամանի</w:t>
      </w:r>
    </w:p>
    <w:p w:rsidR="00DD1BF6" w:rsidRDefault="00DD1BF6" w:rsidP="00DD1BF6">
      <w:pPr>
        <w:tabs>
          <w:tab w:val="left" w:pos="1080"/>
        </w:tabs>
        <w:spacing w:after="0" w:line="276" w:lineRule="auto"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DD1BF6" w:rsidRDefault="00DD1BF6" w:rsidP="00DD1BF6">
      <w:pPr>
        <w:tabs>
          <w:tab w:val="left" w:pos="1080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D1BF6" w:rsidRDefault="00DD1BF6" w:rsidP="00DD1BF6">
      <w:pPr>
        <w:tabs>
          <w:tab w:val="left" w:pos="1080"/>
        </w:tabs>
        <w:spacing w:after="0" w:line="276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Աշխատանքի և սոցիալական հարցերի նախարարության  </w:t>
      </w:r>
    </w:p>
    <w:p w:rsidR="00DD1BF6" w:rsidRDefault="00DD1BF6" w:rsidP="00DD1BF6">
      <w:pPr>
        <w:tabs>
          <w:tab w:val="left" w:pos="1080"/>
        </w:tabs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հավասար հնարավորությունների ապահովման վարչության մարդկանց թրաֆիքինգի և կանանց հիմնահարցերի</w:t>
      </w:r>
    </w:p>
    <w:p w:rsidR="00DD1BF6" w:rsidRDefault="00DD1BF6" w:rsidP="00DD1BF6">
      <w:pPr>
        <w:tabs>
          <w:tab w:val="left" w:pos="1080"/>
        </w:tabs>
        <w:spacing w:after="0" w:line="276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բաժնի քաղաքացիական ծառայության պաշտոնների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համար սահմանվող մասնագիտական գիտելիքների շրջանակը և աղբյուրները</w:t>
      </w:r>
    </w:p>
    <w:p w:rsidR="00DD1BF6" w:rsidRDefault="00DD1BF6" w:rsidP="00DD1BF6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D1BF6" w:rsidRDefault="00DD1BF6" w:rsidP="00DD1BF6">
      <w:pPr>
        <w:pStyle w:val="ListParagraph"/>
        <w:numPr>
          <w:ilvl w:val="0"/>
          <w:numId w:val="1"/>
        </w:numPr>
        <w:tabs>
          <w:tab w:val="left" w:pos="1080"/>
        </w:tabs>
        <w:spacing w:after="0" w:line="276" w:lineRule="auto"/>
        <w:jc w:val="both"/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գիտելիքներ</w:t>
      </w:r>
      <w:bookmarkStart w:id="0" w:name="_GoBack"/>
      <w:bookmarkEnd w:id="0"/>
    </w:p>
    <w:p w:rsidR="00DD1BF6" w:rsidRDefault="00DD1BF6" w:rsidP="00DD1BF6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</w:pPr>
    </w:p>
    <w:p w:rsidR="00DD1BF6" w:rsidRDefault="00DD1BF6" w:rsidP="00DD1BF6">
      <w:pPr>
        <w:pStyle w:val="ListParagraph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Աշխատանքի և սոցիալական հարցերի նախարարության հավասար հնարավորությունների ապահովման վարչության մարդկանց թրաֆիքինգի և կանանց հիմնահարցերի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բաժնի գործունեության ոլորտը կարգավորող և տվյալ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վարչության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քաղաքացիական ծառայության պաշտոնների առանձնահատկություններից բխող օրենքների իմացություն՝</w:t>
      </w:r>
    </w:p>
    <w:p w:rsidR="00DD1BF6" w:rsidRDefault="00DD1BF6" w:rsidP="00DD1BF6">
      <w:pPr>
        <w:pStyle w:val="ListParagraph"/>
        <w:tabs>
          <w:tab w:val="left" w:pos="1080"/>
        </w:tabs>
        <w:spacing w:after="0" w:line="276" w:lineRule="auto"/>
        <w:ind w:left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DD1BF6" w:rsidRDefault="00DD1BF6" w:rsidP="00DD1BF6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90" w:firstLine="990"/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Սահմանադրություն.</w:t>
      </w:r>
    </w:p>
    <w:p w:rsidR="00DD1BF6" w:rsidRDefault="00DD1BF6" w:rsidP="00DD1BF6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90" w:firstLine="990"/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«Հանրային ծառայության մասին» օրենք.</w:t>
      </w:r>
    </w:p>
    <w:p w:rsidR="00DD1BF6" w:rsidRDefault="00DD1BF6" w:rsidP="00DD1BF6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90" w:firstLine="990"/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«Քաղաքացիական ծառայության մասին» օրենք.</w:t>
      </w:r>
    </w:p>
    <w:p w:rsidR="00DD1BF6" w:rsidRDefault="00DD1BF6" w:rsidP="00DD1BF6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90" w:firstLine="99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eastAsiaTheme="minorEastAsia" w:hAnsi="GHEA Grapalat" w:cs="Sylfaen"/>
          <w:sz w:val="24"/>
          <w:szCs w:val="24"/>
          <w:lang w:val="hy-AM"/>
        </w:rPr>
        <w:t>«Պետական պաշտոններ և պետական ծառայության պաշտոններ զբաղեցնող անձանց վարձատրության մասին» օրենք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.</w:t>
      </w:r>
    </w:p>
    <w:p w:rsidR="00DD1BF6" w:rsidRDefault="00DD1BF6" w:rsidP="00DD1BF6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90" w:firstLine="99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«Կանանց և տղամարդկանց հավասար իրավունքների և հավասար հնարավորությունների ապահովման մասին» Օրենք</w:t>
      </w:r>
      <w:r>
        <w:rPr>
          <w:rFonts w:ascii="Cambria Math" w:hAnsi="Cambria Math"/>
          <w:iCs/>
          <w:color w:val="000000" w:themeColor="text1"/>
          <w:sz w:val="24"/>
          <w:szCs w:val="24"/>
          <w:lang w:val="hy-AM"/>
        </w:rPr>
        <w:t>․</w:t>
      </w:r>
    </w:p>
    <w:p w:rsidR="00DD1BF6" w:rsidRDefault="00DD1BF6" w:rsidP="00DD1BF6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90" w:firstLine="99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«Մարդկանց թրաֆիքինգի և շահագործման ենթարկված անձանց նույնացման և աջակցության մասին» Օրենք</w:t>
      </w:r>
      <w:r>
        <w:rPr>
          <w:rFonts w:ascii="Cambria Math" w:hAnsi="Cambria Math"/>
          <w:iCs/>
          <w:color w:val="000000" w:themeColor="text1"/>
          <w:sz w:val="24"/>
          <w:szCs w:val="24"/>
          <w:lang w:val="hy-AM"/>
        </w:rPr>
        <w:t>․</w:t>
      </w:r>
    </w:p>
    <w:p w:rsidR="00DD1BF6" w:rsidRDefault="00DD1BF6" w:rsidP="00DD1BF6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90" w:firstLine="99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«Ընտանեկան և կենցաղային բռնության կանխարգելման ու ընտանեկան և կենցաղային բռնության ենթարկված անձանց պաշտպանության մասին» Օրենք։</w:t>
      </w:r>
    </w:p>
    <w:p w:rsidR="00DD1BF6" w:rsidRDefault="00DD1BF6" w:rsidP="00DD1BF6">
      <w:pPr>
        <w:tabs>
          <w:tab w:val="left" w:pos="1080"/>
        </w:tabs>
        <w:spacing w:after="0" w:line="276" w:lineRule="auto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</w:p>
    <w:p w:rsidR="00DD1BF6" w:rsidRDefault="00DD1BF6" w:rsidP="00DD1BF6">
      <w:pPr>
        <w:pStyle w:val="ListParagraph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Աշխատանքի և սոցիալական հարցերի նախարարության Հավասար հնարավորությունների ապահովման վարչության Մարդկանց թրաֆիքինգի և կանանց հիմնահարցերի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բաժնի գործունեության ոլորտը կարգավորող և տվյալ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վարչության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քաղաքացիական ծառայության պաշտոնների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 xml:space="preserve">առանձնահատկություններից բխող </w:t>
      </w:r>
      <w:r>
        <w:rPr>
          <w:rFonts w:ascii="GHEA Grapalat" w:hAnsi="GHEA Grapalat"/>
          <w:b/>
          <w:iCs/>
          <w:sz w:val="24"/>
          <w:szCs w:val="24"/>
          <w:lang w:val="hy-AM"/>
        </w:rPr>
        <w:t>ենթաօրենսդրական ակտերի իմացություն (</w:t>
      </w:r>
      <w:r>
        <w:rPr>
          <w:rFonts w:ascii="GHEA Grapalat" w:hAnsi="GHEA Grapalat"/>
          <w:iCs/>
          <w:sz w:val="24"/>
          <w:szCs w:val="24"/>
          <w:lang w:val="hy-AM"/>
        </w:rPr>
        <w:t>այդ թվում՝ կոնվենցիաներ, այլ ...</w:t>
      </w:r>
      <w:r>
        <w:rPr>
          <w:rFonts w:ascii="GHEA Grapalat" w:hAnsi="GHEA Grapalat"/>
          <w:b/>
          <w:iCs/>
          <w:sz w:val="24"/>
          <w:szCs w:val="24"/>
          <w:lang w:val="hy-AM"/>
        </w:rPr>
        <w:t>)՝</w:t>
      </w:r>
    </w:p>
    <w:p w:rsidR="00DD1BF6" w:rsidRDefault="00DD1BF6" w:rsidP="00DD1BF6">
      <w:pPr>
        <w:tabs>
          <w:tab w:val="left" w:pos="1080"/>
        </w:tabs>
        <w:spacing w:after="0" w:line="240" w:lineRule="auto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«Մարդու իրավունքների համընդհանուր հռչակագիր»  (1948թ.),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«Կանանց նկատմամբ խտրականության բոլոր ձևերի վերացման մասին» կոնվենցիա և կից արձանագրություն, (1993 թ.)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«Պեկինյան հռչակագիր և գործողությունների ծրագիր» (Կանանց միջազգային չորրորդ համաժողով, Պեկին 1995թ.), 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«Կանանց քաղաքական իրավունքների մասին» կոնվենցիա (2007թ.),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Անվտանգության Խորհրդի 1325 բանաձև (2000թ.)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Երեխայի աշխատանքի վատթարագույն ձևերի մասին» թիվ 182 կոնվենցիա (2006թ.):  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«Մարդկանց թրաֆիքինգի դեմ պայքարի միջոցների մասին» Եվրոպական կոնվենցիա (2008թ.),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Եվրոպայի խորհրդի կոնվենցիա երեխաների պաշտպանության մասին սեռական շահագործումից և սեռական բռնությունից (2007թ.),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ՄԱԿ-ի Երեխայի իրավունքների կոնվենցիայի Լրացուցիչ արձանագրություն՝ երեխաների վաճառքի, մանկական մարմնավաճառության և մանկական պոռնկագրության մասին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Եվրոպայի խորհրդի կոնվենցիա կանանց նկատմամբ բռնության և ընտանեկան բռնության կանխարգելման և դրա դեմ պայքարի մասին (2011)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«ՀՀ կառավարության 2015 թվականի սեպտեմբերի 10-ի 1078-Ն որոշման մեջ փոփոխություններ և լրացումներ կատարելու մասին» ՀՀ կառավարության 2024 թվականի դեկտեմբերի 12-ի N 1984-Ն որոշում,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«Ընտանեկան և կենցաղային բռնության ենթարկվածներին սոցիալական ծառայություններ տրամադրող աջակցության կենտրոնի գործունեությանը, մատուցվող ծառայություններին և անձնակազմին ներկայացվող պահանջները հաստատելու և աջակցության կենտրոնի կողմից ծառայությունների մատուցման կարգը հաստատելու մասին» ՀՀ կառավարության 13 փետրվարի 2025 թվականի փետրվարի 13-ի N 158 – Ն որոշում,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Ընտանեկան և կենցաղային բռնության ենթարկվածների ժամանակավոր աջակցության հաշվեհամարի բացման և տնօրինման կարգը սահմանելու մասին»  ՀՀ կառավարության 2025 թվականի հունվարի 16-ի N 51 - Ն որոշմում,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lastRenderedPageBreak/>
        <w:t>Ընտանեկան և կենցաղային բռնության դեպքերի հայտնաբերման, ընտանեկան և կենցաղային բռնության ենթարկված անձանց ուղղորդման, ընտանեկան և կենցաղային բռնության դեպքի կրկնման ռիսկի գնահատման կարգը հաստատելու մասին» ՀՀ կառավարության 2025 թվականի փետրվարի 20-ի N 181-Ն  որոշում,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Ընտանեկան և կենցաղային բռնություն գործադրած անձանց ռեաբիլիտացման ծրագիրը հաստատելու մասին» ՀՀ կառավարության 2025 թվականի հունվարի 16-ի N 35-Ն որոշում,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«ՀՀ կառավարության 2018 թվականի հուլիսի 10-ի N 786-Ն որոշման մեջ լրացումներ և փոփոխություններ կատարելու մասին» ՀՀ կառավարության 2025 թվականի հունվարի 30-ի N 107-Ն որոշում,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«ՀՀ վարչապետի 2018 թվականի դեկտեմբերի 28-ի N 1685-Ա որոշման մեջ փոփոխություններ և լրացումներ կատարելու մասին» ՀՀ վարչապետի որոշում 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«Հայաստանի Հանրապետության կառավարության 2019 թվականի մարտի 29-ի թիվ 364-Ն որոշման մեջ փոփոխություններ կատարելու մասին» ՀՀ կառավարության 2025 թվականի փետրվարի 20-ի N 190-Ն որոշում,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«Ընտանեկան և կենցաղային բռնությունը կանխարգելելու նպատակով աջակցության կենտրոն և ապաստարան դիմած անձանց շրջանում մշտադիտարկման կարգը սահմանելու մասին» ՀՀ աշխատանքի և սոցիալական հարցերի նախարարի հրաման,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«ՀՀ կառավարության 2019 թվականի հոկտեմբերի 10-ի N 1381-Ն որոշման մեջ փոփոխություններ և լրացումն կատարելու մասին ՀՀ կառավարության 2024 թվականի նոյեմբերի 21-ի N 1828-Ն որոշում,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«Հայաստանի Հանրապետությունում մարդկանց թրաֆիքինգի և շահագործման զոհերի նույնացման հանձնաժողովի աշխատակարգը, մարդկանց թրաֆիքինգի եվ շահագործման զոհերի նույնացման հանձնաժողովի կողմից հայաստանի հանրապետությունում մարդկանց թրաֆիքինգի և շահագործման դեմ պայքարի հարցերով խորհուրդ ներկայացվող հաշվետվության ձեվը սահմանելու մասին» 2015 թ</w:t>
      </w:r>
      <w:r>
        <w:rPr>
          <w:rFonts w:ascii="Cambria Math" w:hAnsi="Cambria Math" w:cs="Cambria Math"/>
          <w:iCs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1200-ն ՀՀ կառավարության որոշում։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«Գործընկեր հասարակական կազմակերպությունների ընտրության կարգը, մարդկանց թրաֆիքինգի և շահագործման զոհերի նույնացման հանձնաժողովում հասարակական կազմակերպությունների ներկայացուցիչների ընտրության կարգը սահմանելու մասին» 2015 թ</w:t>
      </w:r>
      <w:r>
        <w:rPr>
          <w:rFonts w:ascii="Cambria Math" w:hAnsi="Cambria Math" w:cs="Cambria Math"/>
          <w:iCs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851-ն ՀՀ կառավարության որոշում։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lastRenderedPageBreak/>
        <w:t xml:space="preserve">«Մարդկանց թրաֆիքինգի և շահագործման հավանական զոհերին, զոհերին և հատուկ կատեգորիայի զոհերին «Մարդկանց թրաֆիքինգի և շահագործման ենթարկված անձանց նույնացման և աջակցության մասին» Հայաստանի Հանրապետության օրենքով նախատեսված աջակցության տրամադրման կարգը, չափերը, ինչպես նաև աջակցության և պաշտպանության նպատակով հատուկ կատեգորիայի երեխա զոհերի ուղղորդման ընթացակարգը սահմանելու մասին» ՀՀ կառավարության 5 մայիսի 2016 թվականի N 492-Ն որոշում։ 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«Հայաստանի Հանրապետությունում 2023-2025 թվականների ընթացքում մարդկանց թրաֆիքինգի կամ շահագործման դեմ պայքարի կազմակերպման ազգային ծրագիրը և ծրագրրի իրականացման ժամանակացույցը հաստատելու մասին» ՀՀ կառավարության 2023 թվականի թիվ 31-Լ որոշում։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«Մարդկանց թրաֆիքինգի և շահագործման զոհերին և հատուկ կատեգորիայի զոհերին կացարանի տրամադրման, բնաիրային, հոգեբանական, խորհրդատվական, իրավաբանական օգնության և խնամքի տրամադրման, այդ թվում՝ համապատասխան հաստատություններում, որակի նվազագույն չափորոշիչները սահմանելու մասին» ՀՀ կառավարության 2022 թվականի թիվ 1538-Ն որոշում։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«Մարդկանց թրաֆիքինգի և շահագործման զոհերի նույնացման հանձնաժողովի կողմից անձին որպես զոհ կամ հատուկ կատեգորիայի զոհ նույնացնելու ցուցիչները հաստատելու մասին» ՀՀ կառավարության 2022 թվականի թիվ 1534-Ն որոշում։</w:t>
      </w:r>
    </w:p>
    <w:p w:rsidR="00DD1BF6" w:rsidRDefault="00DD1BF6" w:rsidP="00DD1BF6">
      <w:pPr>
        <w:pStyle w:val="ListParagraph"/>
        <w:numPr>
          <w:ilvl w:val="0"/>
          <w:numId w:val="4"/>
        </w:numPr>
        <w:tabs>
          <w:tab w:val="left" w:pos="1080"/>
          <w:tab w:val="left" w:pos="1620"/>
        </w:tabs>
        <w:spacing w:after="0" w:line="276" w:lineRule="auto"/>
        <w:ind w:left="0" w:firstLine="1080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ՀՀ կառավարության կողմից հաստատվել է «Հայաստանի Հանրապետությունում գենդերային քաղաքականության իրականացման 2025-2028 թվականների ռազմավարությունը և միջոցառումների ծրագիրը հաստատելու մասին» ՀՀ կառավարության որոշումը։</w:t>
      </w:r>
    </w:p>
    <w:p w:rsidR="00DD1BF6" w:rsidRDefault="00DD1BF6" w:rsidP="00DD1BF6">
      <w:pPr>
        <w:tabs>
          <w:tab w:val="left" w:pos="1080"/>
        </w:tabs>
        <w:spacing w:after="0" w:line="240" w:lineRule="auto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</w:p>
    <w:p w:rsidR="00DD1BF6" w:rsidRDefault="00DD1BF6" w:rsidP="00DD1BF6">
      <w:pPr>
        <w:pStyle w:val="ListParagraph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  <w:r>
        <w:rPr>
          <w:rFonts w:ascii="GHEA Grapalat" w:hAnsi="GHEA Grapalat" w:cs="Sylfaen"/>
          <w:b/>
          <w:iCs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i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Cs/>
          <w:sz w:val="24"/>
          <w:szCs w:val="24"/>
          <w:lang w:val="hy-AM"/>
        </w:rPr>
        <w:t>գիտելիքներ</w:t>
      </w:r>
    </w:p>
    <w:p w:rsidR="00DD1BF6" w:rsidRDefault="00DD1BF6" w:rsidP="00DD1BF6">
      <w:pPr>
        <w:numPr>
          <w:ilvl w:val="0"/>
          <w:numId w:val="5"/>
        </w:numPr>
        <w:tabs>
          <w:tab w:val="left" w:pos="1080"/>
        </w:tabs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Համակարգչից և այլ տեխնիկական միջոցներից օգտվելու համար անհրաժեշտ ծրագրերի  իմացություն. </w:t>
      </w:r>
    </w:p>
    <w:p w:rsidR="00DD1BF6" w:rsidRDefault="00DD1BF6" w:rsidP="00DD1BF6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ա) Ինֆորմատիկա 7-րդ դասարան։ Դասագիրք հանրակրթական դպրոցի համար։ Ս.Ս.Ավետիսյան, Ա.Վ.Դանիելյան։ Մասնագիտական խմբագիր՝ Ռ.Վ. Աղգաշյան։ Երևան 2012։</w:t>
      </w:r>
    </w:p>
    <w:p w:rsidR="00DD1BF6" w:rsidRDefault="00DD1BF6" w:rsidP="00DD1BF6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5" w:history="1">
        <w:r>
          <w:rPr>
            <w:rStyle w:val="Hyperlink"/>
            <w:rFonts w:ascii="GHEA Grapalat" w:hAnsi="GHEA Grapalat"/>
            <w:color w:val="0070C0"/>
            <w:sz w:val="24"/>
            <w:szCs w:val="24"/>
            <w:lang w:val="hy-AM"/>
          </w:rPr>
          <w:t>http://fliphtml5.com/fumf/egdx</w:t>
        </w:r>
      </w:hyperlink>
    </w:p>
    <w:p w:rsidR="00DD1BF6" w:rsidRDefault="00DD1BF6" w:rsidP="00DD1BF6">
      <w:pPr>
        <w:numPr>
          <w:ilvl w:val="0"/>
          <w:numId w:val="5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Գործնական գրագրության, փաստաթղթերի, գրավոր տեքստերի գրագետ  շարադրման սկզբունքների և կանոնների իմացություն.</w:t>
      </w:r>
    </w:p>
    <w:p w:rsidR="00DD1BF6" w:rsidRDefault="00DD1BF6" w:rsidP="00DD1BF6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ա)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Գրավոր խոսք», Վազգեն Գաբրիելյան, երրորդ լրամշակված հրատարակությունուն, Լիմուշ հրատարակչություն, Երևան 2012 թ., էջեր՝ 70-129. </w:t>
      </w:r>
    </w:p>
    <w:p w:rsidR="00DD1BF6" w:rsidRDefault="00DD1BF6" w:rsidP="00DD1BF6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>
          <w:rPr>
            <w:rStyle w:val="Hyperlink"/>
            <w:rFonts w:ascii="GHEA Grapalat" w:hAnsi="GHEA Grapalat"/>
            <w:color w:val="0070C0"/>
            <w:sz w:val="24"/>
            <w:szCs w:val="24"/>
            <w:lang w:val="hy-AM"/>
          </w:rPr>
          <w:t>http://www.parliament.am/library/books/gravor-khosq.pdf</w:t>
        </w:r>
      </w:hyperlink>
    </w:p>
    <w:p w:rsidR="00DD1BF6" w:rsidRDefault="00DD1BF6" w:rsidP="00DD1BF6">
      <w:pPr>
        <w:tabs>
          <w:tab w:val="left" w:pos="1080"/>
        </w:tabs>
        <w:spacing w:after="0" w:line="276" w:lineRule="auto"/>
        <w:ind w:firstLine="567"/>
        <w:rPr>
          <w:rStyle w:val="Hyperlink"/>
          <w:rFonts w:ascii="GHEA Grapalat" w:hAnsi="GHEA Grapalat"/>
        </w:rPr>
      </w:pPr>
    </w:p>
    <w:p w:rsidR="00DD1BF6" w:rsidRDefault="00DD1BF6" w:rsidP="00DD1BF6">
      <w:pPr>
        <w:numPr>
          <w:ilvl w:val="0"/>
          <w:numId w:val="5"/>
        </w:numPr>
        <w:tabs>
          <w:tab w:val="left" w:pos="1080"/>
        </w:tabs>
        <w:spacing w:after="0" w:line="276" w:lineRule="auto"/>
        <w:ind w:left="0" w:firstLine="567"/>
        <w:jc w:val="both"/>
        <w:rPr>
          <w:iCs/>
          <w:color w:val="000000" w:themeColor="text1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Օտար լեզուների /անգլերենի/ տիրապետում (</w:t>
      </w:r>
      <w:r>
        <w:rPr>
          <w:rFonts w:ascii="GHEA Grapalat" w:hAnsi="GHEA Grapalat" w:cs="Sylfaen"/>
          <w:sz w:val="24"/>
          <w:szCs w:val="24"/>
          <w:lang w:val="hy-AM"/>
        </w:rPr>
        <w:t>ցանկալի է</w:t>
      </w:r>
      <w:r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:rsidR="00DD1BF6" w:rsidRDefault="00DD1BF6" w:rsidP="00DD1BF6">
      <w:pPr>
        <w:tabs>
          <w:tab w:val="left" w:pos="1080"/>
        </w:tabs>
        <w:spacing w:after="0" w:line="276" w:lineRule="auto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</w:p>
    <w:p w:rsidR="00DD1BF6" w:rsidRDefault="00DD1BF6" w:rsidP="00DD1BF6">
      <w:pPr>
        <w:tabs>
          <w:tab w:val="left" w:pos="1080"/>
        </w:tabs>
        <w:spacing w:after="0" w:line="276" w:lineRule="auto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</w:p>
    <w:p w:rsidR="00301AB7" w:rsidRDefault="00301AB7"/>
    <w:sectPr w:rsidR="0030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389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B34AC"/>
    <w:multiLevelType w:val="hybridMultilevel"/>
    <w:tmpl w:val="97506C7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750B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504D82"/>
    <w:multiLevelType w:val="multilevel"/>
    <w:tmpl w:val="CB38C17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Sylfaen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Sylfaen"/>
      </w:rPr>
    </w:lvl>
  </w:abstractNum>
  <w:abstractNum w:abstractNumId="4" w15:restartNumberingAfterBreak="0">
    <w:nsid w:val="38C64FC3"/>
    <w:multiLevelType w:val="hybridMultilevel"/>
    <w:tmpl w:val="97506C7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6"/>
    <w:rsid w:val="00301AB7"/>
    <w:rsid w:val="00D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FDB5C-2D8D-4AF2-84A4-A2AE99A4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B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BF6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D1BF6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DD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liament.am/library/books/gravor-khosq.pdf" TargetMode="External"/><Relationship Id="rId5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6127</Characters>
  <Application>Microsoft Office Word</Application>
  <DocSecurity>0</DocSecurity>
  <Lines>51</Lines>
  <Paragraphs>14</Paragraphs>
  <ScaleCrop>false</ScaleCrop>
  <Company>HP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Liana.Hayrapetyan</dc:creator>
  <cp:keywords/>
  <dc:description/>
  <cp:lastModifiedBy>Liana.Hayrapetyan</cp:lastModifiedBy>
  <cp:revision>2</cp:revision>
  <dcterms:created xsi:type="dcterms:W3CDTF">2025-11-05T11:32:00Z</dcterms:created>
  <dcterms:modified xsi:type="dcterms:W3CDTF">2025-11-05T11:33:00Z</dcterms:modified>
</cp:coreProperties>
</file>