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95" w:rsidRPr="00801642" w:rsidRDefault="00BF4395" w:rsidP="00BF4395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</w:rPr>
      </w:pPr>
      <w:r w:rsidRPr="00801642">
        <w:rPr>
          <w:rFonts w:ascii="GHEA Grapalat" w:hAnsi="GHEA Grapalat" w:cs="Sylfaen"/>
          <w:sz w:val="16"/>
          <w:szCs w:val="16"/>
          <w:lang w:val="hy-AM"/>
        </w:rPr>
        <w:t xml:space="preserve">Հավելված N </w:t>
      </w:r>
      <w:r>
        <w:rPr>
          <w:rFonts w:ascii="GHEA Grapalat" w:hAnsi="GHEA Grapalat" w:cs="Sylfaen"/>
          <w:sz w:val="16"/>
          <w:szCs w:val="16"/>
        </w:rPr>
        <w:t>8.1</w:t>
      </w:r>
    </w:p>
    <w:p w:rsidR="00BF4395" w:rsidRPr="00801642" w:rsidRDefault="00BF4395" w:rsidP="00BF4395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801642">
        <w:rPr>
          <w:rFonts w:ascii="GHEA Grapalat" w:hAnsi="GHEA Grapalat" w:cs="Sylfaen"/>
          <w:sz w:val="16"/>
          <w:szCs w:val="16"/>
          <w:lang w:val="hy-AM"/>
        </w:rPr>
        <w:t>Աշխատանքի և սոցիալական հարցերի նախարարության</w:t>
      </w:r>
    </w:p>
    <w:p w:rsidR="00BF4395" w:rsidRPr="00801642" w:rsidRDefault="00BF4395" w:rsidP="00BF4395">
      <w:pPr>
        <w:tabs>
          <w:tab w:val="left" w:pos="1080"/>
        </w:tabs>
        <w:spacing w:after="0" w:line="276" w:lineRule="auto"/>
        <w:ind w:firstLine="567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801642">
        <w:rPr>
          <w:rFonts w:ascii="GHEA Grapalat" w:hAnsi="GHEA Grapalat" w:cs="Sylfaen"/>
          <w:sz w:val="16"/>
          <w:szCs w:val="16"/>
          <w:lang w:val="hy-AM"/>
        </w:rPr>
        <w:t xml:space="preserve">գլխավոր քարտուղարի 2025 թ. </w:t>
      </w:r>
    </w:p>
    <w:p w:rsidR="00BF4395" w:rsidRDefault="00BF4395" w:rsidP="00BF4395">
      <w:pPr>
        <w:tabs>
          <w:tab w:val="left" w:pos="1080"/>
        </w:tabs>
        <w:spacing w:after="0" w:line="276" w:lineRule="auto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801642">
        <w:rPr>
          <w:rFonts w:ascii="GHEA Grapalat" w:hAnsi="GHEA Grapalat" w:cs="Sylfaen"/>
          <w:sz w:val="16"/>
          <w:szCs w:val="16"/>
          <w:lang w:val="hy-AM"/>
        </w:rPr>
        <w:t>_________________   _______-ի N      –Ա/4 հրամանի</w:t>
      </w:r>
    </w:p>
    <w:p w:rsidR="00BF4395" w:rsidRDefault="00BF4395" w:rsidP="00BF4395">
      <w:pPr>
        <w:tabs>
          <w:tab w:val="left" w:pos="1080"/>
        </w:tabs>
        <w:spacing w:after="0" w:line="276" w:lineRule="auto"/>
        <w:jc w:val="right"/>
        <w:rPr>
          <w:rFonts w:ascii="GHEA Grapalat" w:hAnsi="GHEA Grapalat" w:cs="Sylfaen"/>
          <w:sz w:val="16"/>
          <w:szCs w:val="16"/>
          <w:lang w:val="hy-AM"/>
        </w:rPr>
      </w:pPr>
    </w:p>
    <w:p w:rsidR="00BF4395" w:rsidRPr="00936DC7" w:rsidRDefault="00BF4395" w:rsidP="00BF4395">
      <w:pPr>
        <w:tabs>
          <w:tab w:val="left" w:pos="1080"/>
        </w:tabs>
        <w:spacing w:after="0" w:line="276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Աշխատանքի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և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սոցիալական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հարցերի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նախարարության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</w:t>
      </w:r>
    </w:p>
    <w:p w:rsidR="00BF4395" w:rsidRDefault="00BF4395" w:rsidP="00BF4395">
      <w:pPr>
        <w:tabs>
          <w:tab w:val="left" w:pos="1080"/>
        </w:tabs>
        <w:spacing w:after="0" w:line="276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ֆ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ինանսական և հաշվապահական հաշվառման վարչության </w:t>
      </w:r>
    </w:p>
    <w:p w:rsidR="00BF4395" w:rsidRDefault="00BF4395" w:rsidP="00BF4395">
      <w:pPr>
        <w:tabs>
          <w:tab w:val="left" w:pos="1080"/>
        </w:tabs>
        <w:spacing w:after="0" w:line="276" w:lineRule="auto"/>
        <w:jc w:val="center"/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ֆ</w:t>
      </w:r>
      <w:r w:rsidRPr="00ED6595">
        <w:rPr>
          <w:rFonts w:ascii="GHEA Grapalat" w:hAnsi="GHEA Grapalat"/>
          <w:b/>
          <w:sz w:val="24"/>
          <w:szCs w:val="24"/>
          <w:lang w:val="hy-AM"/>
        </w:rPr>
        <w:t>ինանսական բաժնի</w:t>
      </w:r>
      <w:r w:rsidRPr="00936DC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D7E5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քաղաքացիական ծառայության պաշտոն</w:t>
      </w:r>
      <w:proofErr w:type="spellStart"/>
      <w:r>
        <w:rPr>
          <w:rFonts w:ascii="GHEA Grapalat" w:hAnsi="GHEA Grapalat"/>
          <w:b/>
          <w:color w:val="000000" w:themeColor="text1"/>
          <w:sz w:val="24"/>
          <w:szCs w:val="24"/>
        </w:rPr>
        <w:t>ներ</w:t>
      </w:r>
      <w:proofErr w:type="spellEnd"/>
      <w:r w:rsidRPr="007D7E5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ի </w:t>
      </w:r>
      <w:r w:rsidRPr="007D7E5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սահմանվող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մասնագիտական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գիտելիքների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շրջանակը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և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աղբյուրները</w:t>
      </w:r>
    </w:p>
    <w:p w:rsidR="00BF4395" w:rsidRDefault="00BF4395" w:rsidP="00BF4395">
      <w:pPr>
        <w:tabs>
          <w:tab w:val="left" w:pos="1080"/>
        </w:tabs>
        <w:spacing w:after="0" w:line="276" w:lineRule="auto"/>
        <w:jc w:val="center"/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</w:pPr>
    </w:p>
    <w:p w:rsidR="00BF4395" w:rsidRPr="00936DC7" w:rsidRDefault="00BF4395" w:rsidP="00BF4395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Իրավական</w:t>
      </w:r>
      <w:r w:rsidRPr="00936DC7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գիտելիքներ</w:t>
      </w:r>
    </w:p>
    <w:p w:rsidR="00BF4395" w:rsidRPr="00936DC7" w:rsidRDefault="00BF4395" w:rsidP="00BF4395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</w:pPr>
    </w:p>
    <w:p w:rsidR="00BF4395" w:rsidRPr="003F58D8" w:rsidRDefault="00BF4395" w:rsidP="00BF4395">
      <w:pPr>
        <w:pStyle w:val="ListParagraph"/>
        <w:numPr>
          <w:ilvl w:val="1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Աշխատանքի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և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սոցիալական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հարցերի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նախարարության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ֆ</w:t>
      </w:r>
      <w:r w:rsidRPr="003F58D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ինանսական և հաշվապահական հաշվառման վարչության </w:t>
      </w:r>
      <w:r>
        <w:rPr>
          <w:rFonts w:ascii="GHEA Grapalat" w:hAnsi="GHEA Grapalat"/>
          <w:b/>
          <w:sz w:val="24"/>
          <w:szCs w:val="24"/>
          <w:lang w:val="hy-AM"/>
        </w:rPr>
        <w:t>ֆ</w:t>
      </w:r>
      <w:r w:rsidRPr="00ED6595">
        <w:rPr>
          <w:rFonts w:ascii="GHEA Grapalat" w:hAnsi="GHEA Grapalat"/>
          <w:b/>
          <w:sz w:val="24"/>
          <w:szCs w:val="24"/>
          <w:lang w:val="hy-AM"/>
        </w:rPr>
        <w:t>ինանսական բաժնի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 xml:space="preserve"> գործունեության ոլորտը կարգավորող և տվյալ </w:t>
      </w:r>
      <w:r w:rsidRPr="00ED6595">
        <w:rPr>
          <w:rFonts w:ascii="GHEA Grapalat" w:hAnsi="GHEA Grapalat"/>
          <w:b/>
          <w:sz w:val="24"/>
          <w:szCs w:val="24"/>
          <w:lang w:val="hy-AM"/>
        </w:rPr>
        <w:t>բաժնի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 xml:space="preserve"> քաղաքացիական</w:t>
      </w:r>
      <w:r w:rsidRPr="003F58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ծառայության</w:t>
      </w:r>
      <w:r w:rsidRPr="003F58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պաշտոնների</w:t>
      </w:r>
      <w:r w:rsidRPr="003F58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առանձնահատկություններից</w:t>
      </w:r>
      <w:r w:rsidRPr="003F58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բխող</w:t>
      </w:r>
      <w:r w:rsidRPr="003F58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օրենքների</w:t>
      </w:r>
      <w:r w:rsidRPr="003F58D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F58D8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իմացություն՝</w:t>
      </w:r>
    </w:p>
    <w:p w:rsidR="00BF4395" w:rsidRPr="00936DC7" w:rsidRDefault="00BF4395" w:rsidP="00BF4395">
      <w:pPr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BF4395" w:rsidRPr="001E2C65" w:rsidRDefault="00BF4395" w:rsidP="00BF4395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1350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 w:rsidRPr="001E2C65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Սահմանադրություն.</w:t>
      </w:r>
    </w:p>
    <w:p w:rsidR="00BF4395" w:rsidRDefault="00BF4395" w:rsidP="00BF4395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990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 w:rsidRPr="001E2C65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«Հանրային ծառայության մասին» օրենք.</w:t>
      </w:r>
    </w:p>
    <w:p w:rsidR="00BF4395" w:rsidRDefault="00BF4395" w:rsidP="00BF4395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990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 w:rsidRPr="001E2C65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«Քաղաքացիական ծառայության մասին» օրենք.</w:t>
      </w:r>
      <w:r w:rsidRPr="00E00AF4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 xml:space="preserve"> </w:t>
      </w:r>
    </w:p>
    <w:p w:rsidR="00BF4395" w:rsidRPr="00E00AF4" w:rsidRDefault="00BF4395" w:rsidP="00BF4395">
      <w:pPr>
        <w:pStyle w:val="ListParagraph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990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 w:rsidRPr="00E00AF4">
        <w:rPr>
          <w:rFonts w:ascii="GHEA Grapalat" w:eastAsiaTheme="minorEastAsia" w:hAnsi="GHEA Grapalat" w:cs="Sylfaen"/>
          <w:sz w:val="24"/>
          <w:szCs w:val="24"/>
          <w:lang w:val="hy-AM"/>
        </w:rPr>
        <w:t>«Պետական պաշտոններ և պետական ծառայության պաշտոններ զբաղեցնող անձանց վարձատրության մասին» օրենք</w:t>
      </w:r>
      <w:r w:rsidRPr="00E00AF4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.</w:t>
      </w:r>
    </w:p>
    <w:p w:rsidR="00BF4395" w:rsidRPr="00E00AF4" w:rsidRDefault="00BF4395" w:rsidP="00BF43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0AF4">
        <w:rPr>
          <w:rFonts w:ascii="GHEA Grapalat" w:hAnsi="GHEA Grapalat"/>
          <w:iCs/>
          <w:sz w:val="24"/>
          <w:szCs w:val="24"/>
          <w:lang w:val="hy-AM"/>
        </w:rPr>
        <w:t>«ՀՀ բյուջետային համակարգի մասին ՀՀ օրենք</w:t>
      </w:r>
    </w:p>
    <w:p w:rsidR="00BF4395" w:rsidRPr="00E00AF4" w:rsidRDefault="00BF4395" w:rsidP="00BF43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0AF4">
        <w:rPr>
          <w:rFonts w:ascii="GHEA Grapalat" w:hAnsi="GHEA Grapalat"/>
          <w:iCs/>
          <w:sz w:val="24"/>
          <w:szCs w:val="24"/>
          <w:lang w:val="hy-AM"/>
        </w:rPr>
        <w:t>«ՀՀ տվյալ տարվա պետական բյուջեի մասին» ՀՀ օրենք</w:t>
      </w:r>
    </w:p>
    <w:p w:rsidR="00BF4395" w:rsidRPr="00E00AF4" w:rsidRDefault="00BF4395" w:rsidP="00BF43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0AF4">
        <w:rPr>
          <w:rFonts w:ascii="GHEA Grapalat" w:hAnsi="GHEA Grapalat"/>
          <w:iCs/>
          <w:sz w:val="24"/>
          <w:szCs w:val="24"/>
          <w:lang w:val="hy-AM"/>
        </w:rPr>
        <w:t>«Գանձապետական համակարգի մասին» ՀՀ օրենք</w:t>
      </w:r>
    </w:p>
    <w:p w:rsidR="00BF4395" w:rsidRPr="00E00AF4" w:rsidRDefault="00BF4395" w:rsidP="00BF43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00AF4">
        <w:rPr>
          <w:rFonts w:ascii="GHEA Grapalat" w:hAnsi="GHEA Grapalat"/>
          <w:iCs/>
          <w:sz w:val="24"/>
          <w:szCs w:val="24"/>
          <w:lang w:val="hy-AM"/>
        </w:rPr>
        <w:t>«Պետական ոչ առևտրային կազմակերպությունների մասին» ՀՀ օրենք</w:t>
      </w:r>
    </w:p>
    <w:p w:rsidR="00BF4395" w:rsidRDefault="00BF4395" w:rsidP="00BF4395">
      <w:pPr>
        <w:tabs>
          <w:tab w:val="left" w:pos="1080"/>
        </w:tabs>
        <w:spacing w:after="0" w:line="276" w:lineRule="auto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</w:p>
    <w:p w:rsidR="00BF4395" w:rsidRPr="00E00AF4" w:rsidRDefault="00BF4395" w:rsidP="00BF4395">
      <w:pPr>
        <w:pStyle w:val="ListParagraph"/>
        <w:numPr>
          <w:ilvl w:val="1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Աշխատանքի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և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սոցիալական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հարցերի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նախարարության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ֆ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 xml:space="preserve">ինանսական և հաշվապահական հաշվառման վարչության </w:t>
      </w:r>
      <w:r w:rsidRPr="00ED6595">
        <w:rPr>
          <w:rFonts w:ascii="GHEA Grapalat" w:hAnsi="GHEA Grapalat"/>
          <w:b/>
          <w:sz w:val="24"/>
          <w:szCs w:val="24"/>
          <w:lang w:val="hy-AM"/>
        </w:rPr>
        <w:t>ֆինանսական բաժնի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գործունեության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ոլորտը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կարգավորող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և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տվյալ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վարչության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քաղաքացիական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ծառայության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պաշտոնների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առանձնահատկություններից</w:t>
      </w:r>
      <w:r w:rsidRPr="00936DC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բխող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ենթաօրենսդրական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ակտերի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իմացություն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(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այդ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թվում՝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կոնվենցիաներ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, 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այլ</w:t>
      </w:r>
      <w:r w:rsidRPr="00936DC7">
        <w:rPr>
          <w:rFonts w:ascii="GHEA Grapalat" w:hAnsi="GHEA Grapalat"/>
          <w:b/>
          <w:iCs/>
          <w:sz w:val="24"/>
          <w:szCs w:val="24"/>
          <w:lang w:val="hy-AM"/>
        </w:rPr>
        <w:t xml:space="preserve"> ...)</w:t>
      </w:r>
      <w:r w:rsidRPr="00936DC7">
        <w:rPr>
          <w:rFonts w:ascii="GHEA Grapalat" w:hAnsi="GHEA Grapalat" w:cs="Cambria Math"/>
          <w:b/>
          <w:iCs/>
          <w:sz w:val="24"/>
          <w:szCs w:val="24"/>
          <w:lang w:val="hy-AM"/>
        </w:rPr>
        <w:t>՝</w:t>
      </w:r>
    </w:p>
    <w:p w:rsidR="00BF4395" w:rsidRDefault="00BF4395" w:rsidP="00BF4395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</w:pPr>
    </w:p>
    <w:p w:rsidR="00BF4395" w:rsidRPr="00E00AF4" w:rsidRDefault="00BF4395" w:rsidP="00BF4395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ind w:left="630" w:firstLine="630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lastRenderedPageBreak/>
        <w:t xml:space="preserve">  </w:t>
      </w:r>
      <w:r w:rsidRPr="00E00AF4">
        <w:rPr>
          <w:rFonts w:ascii="GHEA Grapalat" w:hAnsi="GHEA Grapalat"/>
          <w:iCs/>
          <w:sz w:val="24"/>
          <w:szCs w:val="24"/>
          <w:lang w:val="hy-AM"/>
        </w:rPr>
        <w:t>ՀՀ կառավարության 2018 թվականի հունիսի 15-ի «Բյուջեների կատարման կարգը հաստատելու և ՀՀ կառավարության մի շարք որոշումներ ուժը կորցրած ճանաչելու մասին» N 706-Ն որոշում</w:t>
      </w:r>
      <w:r>
        <w:rPr>
          <w:rFonts w:ascii="GHEA Grapalat" w:hAnsi="GHEA Grapalat"/>
          <w:iCs/>
          <w:sz w:val="24"/>
          <w:szCs w:val="24"/>
          <w:lang w:val="hy-AM"/>
        </w:rPr>
        <w:t>.</w:t>
      </w:r>
    </w:p>
    <w:p w:rsidR="00BF4395" w:rsidRPr="008D3CD3" w:rsidRDefault="00BF4395" w:rsidP="00BF4395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ind w:left="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0AF4">
        <w:rPr>
          <w:rFonts w:ascii="Cambria Math" w:hAnsi="Cambria Math" w:cs="Cambria Math"/>
          <w:iCs/>
          <w:sz w:val="24"/>
          <w:szCs w:val="24"/>
          <w:lang w:val="hy-AM"/>
        </w:rPr>
        <w:t xml:space="preserve"> </w:t>
      </w:r>
      <w:r w:rsidRPr="00E00AF4">
        <w:rPr>
          <w:rFonts w:ascii="GHEA Grapalat" w:hAnsi="GHEA Grapalat"/>
          <w:iCs/>
          <w:sz w:val="24"/>
          <w:szCs w:val="24"/>
          <w:lang w:val="hy-AM"/>
        </w:rPr>
        <w:t xml:space="preserve">ՀՀ կառավարության «ՀՀ տվյալ տարվա պետական բյուջեի կատարումն ապահովող միջոցառումների </w:t>
      </w:r>
      <w:r w:rsidRPr="008D3CD3">
        <w:rPr>
          <w:rFonts w:ascii="GHEA Grapalat" w:hAnsi="GHEA Grapalat"/>
          <w:iCs/>
          <w:sz w:val="24"/>
          <w:szCs w:val="24"/>
          <w:lang w:val="hy-AM"/>
        </w:rPr>
        <w:t>մասին» որոշում.</w:t>
      </w:r>
    </w:p>
    <w:p w:rsidR="00BF4395" w:rsidRPr="00E00AF4" w:rsidRDefault="00BF4395" w:rsidP="00BF4395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ind w:left="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D3CD3">
        <w:rPr>
          <w:rFonts w:ascii="GHEA Grapalat" w:hAnsi="GHEA Grapalat" w:cs="Cambria Math"/>
          <w:iCs/>
          <w:color w:val="000000" w:themeColor="text1"/>
          <w:sz w:val="24"/>
          <w:szCs w:val="24"/>
          <w:lang w:val="hy-AM"/>
        </w:rPr>
        <w:t>ՀՀ</w:t>
      </w:r>
      <w:r w:rsidRPr="008D3CD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  <w:r w:rsidRPr="008D3CD3">
        <w:rPr>
          <w:rFonts w:ascii="GHEA Grapalat" w:hAnsi="GHEA Grapalat" w:cs="Cambria Math"/>
          <w:iCs/>
          <w:color w:val="000000" w:themeColor="text1"/>
          <w:sz w:val="24"/>
          <w:szCs w:val="24"/>
          <w:lang w:val="hy-AM"/>
        </w:rPr>
        <w:t>ֆինանսների և էկոնոմիկայի նախարարի</w:t>
      </w:r>
      <w:r w:rsidRPr="008D3CD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  <w:r w:rsidRPr="008D3CD3">
        <w:rPr>
          <w:rFonts w:ascii="GHEA Grapalat" w:hAnsi="GHEA Grapalat" w:cs="Cambria Math"/>
          <w:iCs/>
          <w:color w:val="000000" w:themeColor="text1"/>
          <w:sz w:val="24"/>
          <w:szCs w:val="24"/>
          <w:lang w:val="hy-AM"/>
        </w:rPr>
        <w:t>2007 թ. հունվարի 9-ի</w:t>
      </w:r>
      <w:r w:rsidRPr="008D3CD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«Հայաստանի Հանրապետության բյուջետային դասակարգումները և դրանց կիրառման կարգը հաստատելու մասին» </w:t>
      </w:r>
      <w:r w:rsidRPr="008D3CD3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N 5-Ն</w:t>
      </w:r>
      <w:r w:rsidRPr="008D3CD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հրաման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BF4395" w:rsidRDefault="00BF4395" w:rsidP="00BF4395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</w:pPr>
    </w:p>
    <w:p w:rsidR="00BF4395" w:rsidRPr="005A5FB9" w:rsidRDefault="00BF4395" w:rsidP="00BF4395">
      <w:pPr>
        <w:pStyle w:val="ListParagraph"/>
        <w:numPr>
          <w:ilvl w:val="1"/>
          <w:numId w:val="1"/>
        </w:numPr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946659">
        <w:rPr>
          <w:rFonts w:ascii="GHEA Grapalat" w:hAnsi="GHEA Grapalat" w:cs="Sylfaen"/>
          <w:b/>
          <w:iCs/>
          <w:sz w:val="24"/>
          <w:szCs w:val="24"/>
          <w:lang w:val="hy-AM"/>
        </w:rPr>
        <w:t>Այլ</w:t>
      </w:r>
      <w:r w:rsidRPr="007D7E5D">
        <w:rPr>
          <w:rFonts w:ascii="GHEA Grapalat" w:hAnsi="GHEA Grapalat"/>
          <w:b/>
          <w:i/>
          <w:iCs/>
          <w:sz w:val="24"/>
          <w:szCs w:val="24"/>
          <w:lang w:val="hy-AM"/>
        </w:rPr>
        <w:t xml:space="preserve"> </w:t>
      </w:r>
      <w:r w:rsidRPr="00946659">
        <w:rPr>
          <w:rFonts w:ascii="GHEA Grapalat" w:hAnsi="GHEA Grapalat" w:cs="Sylfaen"/>
          <w:b/>
          <w:iCs/>
          <w:sz w:val="24"/>
          <w:szCs w:val="24"/>
          <w:lang w:val="hy-AM"/>
        </w:rPr>
        <w:t>գիտելիքներ</w:t>
      </w:r>
    </w:p>
    <w:p w:rsidR="00BF4395" w:rsidRPr="002F0AB8" w:rsidRDefault="00BF4395" w:rsidP="00BF4395">
      <w:pPr>
        <w:numPr>
          <w:ilvl w:val="0"/>
          <w:numId w:val="4"/>
        </w:numPr>
        <w:tabs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0AB8">
        <w:rPr>
          <w:rFonts w:ascii="GHEA Grapalat" w:hAnsi="GHEA Grapalat"/>
          <w:sz w:val="24"/>
          <w:szCs w:val="24"/>
          <w:lang w:val="hy-AM"/>
        </w:rPr>
        <w:t xml:space="preserve">Համակարգչից և այլ տեխնիկական միջոցներից օգտվելու համար անհրաժեշտ ծրագրերի  իմացություն </w:t>
      </w:r>
    </w:p>
    <w:p w:rsidR="00BF4395" w:rsidRPr="002F0AB8" w:rsidRDefault="00BF4395" w:rsidP="00BF4395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0AB8">
        <w:rPr>
          <w:rFonts w:ascii="GHEA Grapalat" w:hAnsi="GHEA Grapalat" w:cs="Sylfaen"/>
          <w:sz w:val="24"/>
          <w:szCs w:val="24"/>
          <w:lang w:val="hy-AM"/>
        </w:rPr>
        <w:t>ա) Ինֆորմատիկա 7-րդ դասարան։ Դասագիրք հանրակրթական դպրոցի համար։ Ս.Ս.Ավետիսյան, Ա.Վ.Դանիելյան։ Մասնագիտական խմբագիր՝ Ռ.Վ. Աղգաշյան։ Երևան 2012։</w:t>
      </w:r>
    </w:p>
    <w:p w:rsidR="00BF4395" w:rsidRPr="002F0AB8" w:rsidRDefault="00BF4395" w:rsidP="00BF4395">
      <w:pPr>
        <w:pStyle w:val="ListParagraph"/>
        <w:tabs>
          <w:tab w:val="left" w:pos="1080"/>
        </w:tabs>
        <w:spacing w:after="0" w:line="276" w:lineRule="auto"/>
        <w:ind w:left="0" w:firstLine="567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5" w:history="1">
        <w:r w:rsidRPr="002F0AB8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http://fliphtml5.com/fumf/egdx</w:t>
        </w:r>
      </w:hyperlink>
    </w:p>
    <w:p w:rsidR="00BF4395" w:rsidRPr="002F0AB8" w:rsidRDefault="00BF4395" w:rsidP="00BF4395">
      <w:pPr>
        <w:numPr>
          <w:ilvl w:val="0"/>
          <w:numId w:val="4"/>
        </w:numPr>
        <w:tabs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0AB8">
        <w:rPr>
          <w:rFonts w:ascii="GHEA Grapalat" w:hAnsi="GHEA Grapalat"/>
          <w:sz w:val="24"/>
          <w:szCs w:val="24"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</w:p>
    <w:p w:rsidR="00BF4395" w:rsidRPr="002F0AB8" w:rsidRDefault="00BF4395" w:rsidP="00BF4395">
      <w:pPr>
        <w:tabs>
          <w:tab w:val="left" w:pos="1080"/>
        </w:tabs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0AB8">
        <w:rPr>
          <w:rFonts w:ascii="GHEA Grapalat" w:hAnsi="GHEA Grapalat" w:cs="Sylfaen"/>
          <w:sz w:val="24"/>
          <w:szCs w:val="24"/>
          <w:lang w:val="hy-AM"/>
        </w:rPr>
        <w:t>ա)</w:t>
      </w:r>
      <w:r w:rsidRPr="002F0AB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F0AB8">
        <w:rPr>
          <w:rFonts w:ascii="GHEA Grapalat" w:hAnsi="GHEA Grapalat" w:cs="Sylfaen"/>
          <w:sz w:val="24"/>
          <w:szCs w:val="24"/>
          <w:lang w:val="hy-AM"/>
        </w:rPr>
        <w:t xml:space="preserve">Գրավոր խոսք», Վազգեն Գաբրիելյան, երրորդ լրամշակված հրատարակությունուն, Լիմուշ հրատարակչություն, Երևան 2012 թ., էջեր՝ 70-129, </w:t>
      </w:r>
    </w:p>
    <w:p w:rsidR="00BF4395" w:rsidRDefault="00BF4395" w:rsidP="00BF4395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/>
          <w:color w:val="0070C0"/>
          <w:sz w:val="24"/>
          <w:szCs w:val="24"/>
          <w:u w:val="single"/>
          <w:lang w:val="hy-AM"/>
        </w:rPr>
      </w:pPr>
      <w:r w:rsidRPr="002F0A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Pr="002F0AB8">
          <w:rPr>
            <w:rFonts w:ascii="GHEA Grapalat" w:hAnsi="GHEA Grapalat"/>
            <w:color w:val="0070C0"/>
            <w:sz w:val="24"/>
            <w:szCs w:val="24"/>
            <w:u w:val="single"/>
            <w:lang w:val="hy-AM"/>
          </w:rPr>
          <w:t>http://www.parliament.am/library/books/gravor-khosq.pdf</w:t>
        </w:r>
      </w:hyperlink>
    </w:p>
    <w:p w:rsidR="00BF4395" w:rsidRDefault="00BF4395" w:rsidP="00BF4395">
      <w:pPr>
        <w:pStyle w:val="ListParagraph"/>
        <w:tabs>
          <w:tab w:val="left" w:pos="1080"/>
        </w:tabs>
        <w:spacing w:after="0" w:line="276" w:lineRule="auto"/>
        <w:ind w:left="567"/>
        <w:jc w:val="both"/>
        <w:rPr>
          <w:rFonts w:ascii="GHEA Grapalat" w:hAnsi="GHEA Grapalat"/>
          <w:color w:val="0070C0"/>
          <w:sz w:val="24"/>
          <w:szCs w:val="24"/>
          <w:u w:val="single"/>
          <w:lang w:val="hy-AM"/>
        </w:rPr>
      </w:pPr>
    </w:p>
    <w:p w:rsidR="00DA5614" w:rsidRDefault="00DA5614">
      <w:bookmarkStart w:id="0" w:name="_GoBack"/>
      <w:bookmarkEnd w:id="0"/>
    </w:p>
    <w:sectPr w:rsidR="00DA5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6800"/>
    <w:multiLevelType w:val="hybridMultilevel"/>
    <w:tmpl w:val="09B235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42BE"/>
    <w:multiLevelType w:val="hybridMultilevel"/>
    <w:tmpl w:val="899CC432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032D6"/>
    <w:multiLevelType w:val="hybridMultilevel"/>
    <w:tmpl w:val="97506C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BF5201"/>
    <w:multiLevelType w:val="multilevel"/>
    <w:tmpl w:val="CB38C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Sylfae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Sylfae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5"/>
    <w:rsid w:val="00BF4395"/>
    <w:rsid w:val="00D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F63BC-1929-4B31-826A-D979BC27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BF439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BF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liament.am/library/books/gravor-khosq.pdf" TargetMode="External"/><Relationship Id="rId5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>HP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Liana.Hayrapetyan</dc:creator>
  <cp:keywords/>
  <dc:description/>
  <cp:lastModifiedBy>Liana.Hayrapetyan</cp:lastModifiedBy>
  <cp:revision>1</cp:revision>
  <dcterms:created xsi:type="dcterms:W3CDTF">2025-10-03T05:20:00Z</dcterms:created>
  <dcterms:modified xsi:type="dcterms:W3CDTF">2025-10-03T05:20:00Z</dcterms:modified>
</cp:coreProperties>
</file>